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酒钢集团甘肃宏兴宏宇新材料有限责任公司</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w:t>
      </w:r>
      <w:r>
        <w:rPr>
          <w:rFonts w:hint="eastAsia" w:ascii="方正小标宋简体" w:hAnsi="方正小标宋简体" w:eastAsia="方正小标宋简体" w:cs="方正小标宋简体"/>
          <w:b w:val="0"/>
          <w:bCs w:val="0"/>
          <w:color w:val="000000"/>
          <w:sz w:val="44"/>
          <w:szCs w:val="48"/>
          <w:lang w:val="en-US" w:eastAsia="zh-CN"/>
        </w:rPr>
        <w:t>焊轮\EKB-50 H6S1292-1 窄搭接焊机</w:t>
      </w:r>
      <w:r>
        <w:rPr>
          <w:rFonts w:hint="eastAsia" w:ascii="方正小标宋简体" w:hAnsi="方正小标宋简体" w:eastAsia="方正小标宋简体" w:cs="方正小标宋简体"/>
          <w:b w:val="0"/>
          <w:bCs w:val="0"/>
          <w:color w:val="000000"/>
          <w:sz w:val="44"/>
          <w:szCs w:val="48"/>
          <w:lang w:eastAsia="zh-CN"/>
        </w:rPr>
        <w:t>）</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采</w:t>
      </w:r>
      <w:r>
        <w:rPr>
          <w:rFonts w:hint="eastAsia" w:ascii="方正小标宋简体" w:hAnsi="方正小标宋简体" w:eastAsia="方正小标宋简体" w:cs="方正小标宋简体"/>
          <w:b w:val="0"/>
          <w:bCs w:val="0"/>
          <w:color w:val="000000"/>
          <w:sz w:val="44"/>
          <w:szCs w:val="48"/>
          <w:lang w:val="en-US" w:eastAsia="zh-CN"/>
        </w:rPr>
        <w:t xml:space="preserve">  </w:t>
      </w:r>
      <w:r>
        <w:rPr>
          <w:rFonts w:hint="eastAsia" w:ascii="方正小标宋简体" w:hAnsi="方正小标宋简体" w:eastAsia="方正小标宋简体" w:cs="方正小标宋简体"/>
          <w:b w:val="0"/>
          <w:bCs w:val="0"/>
          <w:color w:val="000000"/>
          <w:sz w:val="44"/>
          <w:szCs w:val="48"/>
          <w:lang w:eastAsia="zh-CN"/>
        </w:rPr>
        <w:t>购</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技</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术</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规</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格</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书</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p>
    <w:p>
      <w:pPr>
        <w:jc w:val="center"/>
        <w:rPr>
          <w:rFonts w:hint="eastAsia" w:ascii="宋体" w:hAnsi="宋体" w:eastAsia="宋体" w:cs="宋体"/>
          <w:color w:val="000000"/>
          <w:sz w:val="21"/>
          <w:szCs w:val="21"/>
        </w:rPr>
      </w:pPr>
    </w:p>
    <w:p>
      <w:pPr>
        <w:jc w:val="center"/>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spacing w:line="720" w:lineRule="auto"/>
        <w:ind w:firstLine="643"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color w:val="000000"/>
          <w:sz w:val="32"/>
          <w:szCs w:val="32"/>
        </w:rPr>
        <w:t>甲    方：</w:t>
      </w:r>
      <w:r>
        <w:rPr>
          <w:rFonts w:hint="eastAsia" w:ascii="仿宋_GB2312" w:hAnsi="仿宋_GB2312" w:eastAsia="仿宋_GB2312" w:cs="仿宋_GB2312"/>
          <w:color w:val="000000"/>
          <w:sz w:val="32"/>
          <w:szCs w:val="32"/>
        </w:rPr>
        <w:t>酒钢集团</w:t>
      </w:r>
      <w:r>
        <w:rPr>
          <w:rFonts w:hint="eastAsia" w:ascii="仿宋_GB2312" w:hAnsi="仿宋_GB2312" w:eastAsia="仿宋_GB2312" w:cs="仿宋_GB2312"/>
          <w:color w:val="000000"/>
          <w:sz w:val="32"/>
          <w:szCs w:val="32"/>
          <w:lang w:eastAsia="zh-CN"/>
        </w:rPr>
        <w:t>甘肃宏兴宏宇新材料有限责任公司</w:t>
      </w:r>
    </w:p>
    <w:p>
      <w:pPr>
        <w:keepNext w:val="0"/>
        <w:keepLines w:val="0"/>
        <w:pageBreakBefore w:val="0"/>
        <w:widowControl w:val="0"/>
        <w:kinsoku/>
        <w:wordWrap/>
        <w:overflowPunct/>
        <w:topLinePunct w:val="0"/>
        <w:autoSpaceDE/>
        <w:autoSpaceDN/>
        <w:bidi w:val="0"/>
        <w:adjustRightInd/>
        <w:snapToGrid/>
        <w:spacing w:line="720" w:lineRule="auto"/>
        <w:ind w:firstLine="643"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b/>
          <w:color w:val="000000"/>
          <w:sz w:val="32"/>
          <w:szCs w:val="32"/>
        </w:rPr>
        <w:t>乙    方：</w:t>
      </w:r>
      <w:r>
        <w:rPr>
          <w:rFonts w:hint="eastAsia" w:ascii="仿宋_GB2312" w:hAnsi="仿宋_GB2312" w:eastAsia="仿宋_GB2312" w:cs="仿宋_GB2312"/>
          <w:color w:val="FF0000"/>
          <w:sz w:val="32"/>
          <w:szCs w:val="32"/>
        </w:rPr>
        <w:t xml:space="preserve"> </w:t>
      </w:r>
    </w:p>
    <w:p>
      <w:pPr>
        <w:tabs>
          <w:tab w:val="left" w:pos="540"/>
        </w:tabs>
        <w:spacing w:line="360" w:lineRule="auto"/>
        <w:rPr>
          <w:rFonts w:hint="eastAsia" w:ascii="宋体" w:hAnsi="宋体"/>
          <w:b/>
          <w:color w:val="000000"/>
          <w:sz w:val="28"/>
          <w:szCs w:val="28"/>
        </w:rPr>
      </w:pPr>
    </w:p>
    <w:p>
      <w:pPr>
        <w:tabs>
          <w:tab w:val="left" w:pos="540"/>
        </w:tabs>
        <w:spacing w:line="360" w:lineRule="auto"/>
        <w:jc w:val="center"/>
        <w:rPr>
          <w:rFonts w:ascii="宋体" w:hAnsi="宋体"/>
          <w:b/>
          <w:color w:val="000000"/>
          <w:sz w:val="28"/>
          <w:szCs w:val="28"/>
        </w:rPr>
      </w:pPr>
      <w:r>
        <w:rPr>
          <w:rFonts w:hint="eastAsia" w:ascii="仿宋_GB2312" w:hAnsi="仿宋_GB2312" w:eastAsia="仿宋_GB2312" w:cs="仿宋_GB2312"/>
          <w:color w:val="000000"/>
          <w:sz w:val="32"/>
          <w:szCs w:val="20"/>
        </w:rPr>
        <w:t>年   月    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    </w:t>
      </w:r>
      <w:r>
        <w:rPr>
          <w:rFonts w:hint="eastAsia" w:ascii="宋体" w:hAnsi="宋体" w:cs="宋体"/>
          <w:sz w:val="21"/>
          <w:szCs w:val="21"/>
          <w:lang w:eastAsia="zh-CN"/>
        </w:rPr>
        <w:t>甲乙双方</w:t>
      </w:r>
      <w:r>
        <w:rPr>
          <w:rFonts w:hint="eastAsia" w:ascii="宋体" w:hAnsi="宋体" w:eastAsia="宋体" w:cs="宋体"/>
          <w:sz w:val="21"/>
          <w:szCs w:val="21"/>
        </w:rPr>
        <w:t>经协商，</w:t>
      </w:r>
      <w:r>
        <w:rPr>
          <w:rFonts w:hint="eastAsia" w:ascii="宋体" w:hAnsi="宋体" w:eastAsia="宋体" w:cs="宋体"/>
          <w:sz w:val="21"/>
          <w:szCs w:val="21"/>
          <w:lang w:eastAsia="zh-CN"/>
        </w:rPr>
        <w:t>就</w:t>
      </w:r>
      <w:r>
        <w:rPr>
          <w:rFonts w:hint="eastAsia" w:ascii="宋体" w:hAnsi="宋体" w:cs="宋体"/>
          <w:szCs w:val="21"/>
          <w:lang w:val="en-US" w:eastAsia="zh-CN"/>
        </w:rPr>
        <w:t>镀锌1#线设备升级改造及产品结构调整项目焊轮</w:t>
      </w:r>
      <w:r>
        <w:rPr>
          <w:rFonts w:hint="eastAsia" w:ascii="宋体" w:hAnsi="宋体" w:eastAsia="宋体" w:cs="宋体"/>
          <w:sz w:val="21"/>
          <w:szCs w:val="21"/>
          <w:lang w:val="en-US" w:eastAsia="zh-CN"/>
        </w:rPr>
        <w:t>采购技术规格</w:t>
      </w:r>
      <w:r>
        <w:rPr>
          <w:rFonts w:hint="eastAsia" w:ascii="宋体" w:hAnsi="宋体" w:cs="宋体"/>
          <w:sz w:val="21"/>
          <w:szCs w:val="21"/>
          <w:lang w:val="en-US" w:eastAsia="zh-CN"/>
        </w:rPr>
        <w:t>书</w:t>
      </w:r>
      <w:r>
        <w:rPr>
          <w:rFonts w:hint="eastAsia" w:ascii="宋体" w:hAnsi="宋体" w:eastAsia="宋体" w:cs="宋体"/>
          <w:sz w:val="21"/>
          <w:szCs w:val="21"/>
          <w:lang w:val="en-US" w:eastAsia="zh-CN"/>
        </w:rPr>
        <w:t>达成如下要求：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jc w:val="both"/>
        <w:textAlignment w:val="auto"/>
        <w:rPr>
          <w:rFonts w:hint="eastAsia" w:ascii="宋体" w:hAnsi="宋体" w:eastAsia="宋体" w:cs="宋体"/>
          <w:b/>
          <w:bCs w:val="0"/>
          <w:kern w:val="2"/>
          <w:sz w:val="21"/>
          <w:szCs w:val="21"/>
          <w:lang w:eastAsia="zh-CN"/>
        </w:rPr>
      </w:pPr>
      <w:r>
        <w:rPr>
          <w:rFonts w:hint="eastAsia" w:ascii="宋体" w:hAnsi="宋体" w:cs="宋体"/>
          <w:b/>
          <w:bCs w:val="0"/>
          <w:kern w:val="2"/>
          <w:sz w:val="21"/>
          <w:szCs w:val="21"/>
          <w:lang w:val="en-US" w:eastAsia="zh-CN"/>
        </w:rPr>
        <w:t xml:space="preserve">一 </w:t>
      </w:r>
      <w:r>
        <w:rPr>
          <w:rFonts w:hint="eastAsia" w:ascii="宋体" w:hAnsi="宋体" w:eastAsia="宋体" w:cs="宋体"/>
          <w:b/>
          <w:bCs w:val="0"/>
          <w:kern w:val="2"/>
          <w:sz w:val="21"/>
          <w:szCs w:val="21"/>
          <w:lang w:eastAsia="zh-CN"/>
        </w:rPr>
        <w:t>总则</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本</w:t>
      </w:r>
      <w:r>
        <w:rPr>
          <w:rFonts w:hint="eastAsia" w:ascii="宋体" w:hAnsi="宋体" w:cs="宋体"/>
          <w:kern w:val="2"/>
          <w:sz w:val="21"/>
          <w:szCs w:val="21"/>
          <w:lang w:val="en-US" w:eastAsia="zh-CN"/>
        </w:rPr>
        <w:t>技术规格书</w:t>
      </w:r>
      <w:r>
        <w:rPr>
          <w:rFonts w:hint="eastAsia" w:ascii="宋体" w:hAnsi="宋体" w:eastAsia="宋体" w:cs="宋体"/>
          <w:kern w:val="2"/>
          <w:sz w:val="21"/>
          <w:szCs w:val="21"/>
          <w:lang w:val="en-US" w:eastAsia="zh-CN"/>
        </w:rPr>
        <w:t>作为甲方设备订货合同的附件，与订货合同同时生效，具有同等法律效力。</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本</w:t>
      </w:r>
      <w:r>
        <w:rPr>
          <w:rFonts w:hint="eastAsia" w:ascii="宋体" w:hAnsi="宋体" w:cs="宋体"/>
          <w:kern w:val="2"/>
          <w:sz w:val="21"/>
          <w:szCs w:val="21"/>
          <w:lang w:val="en-US" w:eastAsia="zh-CN"/>
        </w:rPr>
        <w:t>技术规格书</w:t>
      </w:r>
      <w:r>
        <w:rPr>
          <w:rFonts w:hint="eastAsia" w:ascii="宋体" w:hAnsi="宋体" w:eastAsia="宋体" w:cs="宋体"/>
          <w:kern w:val="2"/>
          <w:sz w:val="21"/>
          <w:szCs w:val="21"/>
          <w:lang w:val="en-US" w:eastAsia="zh-CN"/>
        </w:rPr>
        <w:t>所提出的是最低标准的技术要求，并未对一切技术细节做出规定，也未充分引述有关标准和规范的条文，乙方应保证提供符合有关标准和技术文件的优质产品。</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乙方提供的设备必须是全新、规范、先进的高质量可靠产品，能够确保连续稳定的工作。</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乙方对</w:t>
      </w:r>
      <w:r>
        <w:rPr>
          <w:rFonts w:hint="eastAsia" w:ascii="宋体" w:hAnsi="宋体" w:cs="宋体"/>
          <w:kern w:val="2"/>
          <w:sz w:val="21"/>
          <w:szCs w:val="21"/>
          <w:lang w:val="en-US" w:eastAsia="zh-CN"/>
        </w:rPr>
        <w:t>技术规格书</w:t>
      </w:r>
      <w:r>
        <w:rPr>
          <w:rFonts w:hint="eastAsia" w:ascii="宋体" w:hAnsi="宋体" w:eastAsia="宋体" w:cs="宋体"/>
          <w:kern w:val="2"/>
          <w:sz w:val="21"/>
          <w:szCs w:val="21"/>
          <w:lang w:val="en-US" w:eastAsia="zh-CN"/>
        </w:rPr>
        <w:t>和合同文件（包括图纸、说明书等）均采用国际单位。</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乙方在合同货物制造中，发生侵犯专利的行为时其侵权责任与甲方无关。</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乙方必须提供质量可靠的标准产品，如在后续使用过程中发现存在质量问题或产品在使用过程中出现质量问题，甲方有权对产品进行退货，乙方赔付甲方造成的所有损失。</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jc w:val="both"/>
        <w:textAlignment w:val="auto"/>
        <w:rPr>
          <w:rFonts w:hint="eastAsia" w:ascii="宋体" w:hAnsi="宋体" w:eastAsia="宋体" w:cs="宋体"/>
          <w:b/>
          <w:bCs w:val="0"/>
          <w:kern w:val="2"/>
          <w:sz w:val="21"/>
          <w:szCs w:val="21"/>
          <w:lang w:val="en-US" w:eastAsia="zh-CN"/>
        </w:rPr>
      </w:pPr>
      <w:r>
        <w:rPr>
          <w:rFonts w:hint="eastAsia" w:ascii="宋体" w:hAnsi="宋体" w:cs="宋体"/>
          <w:b/>
          <w:sz w:val="21"/>
          <w:szCs w:val="21"/>
          <w:lang w:val="en-US" w:eastAsia="zh-CN"/>
        </w:rPr>
        <w:t>二、</w:t>
      </w:r>
      <w:r>
        <w:rPr>
          <w:rFonts w:hint="eastAsia" w:ascii="宋体" w:hAnsi="宋体" w:eastAsia="宋体" w:cs="宋体"/>
          <w:b/>
          <w:sz w:val="21"/>
          <w:szCs w:val="21"/>
        </w:rPr>
        <w:t>技术规格及技术要求</w:t>
      </w:r>
      <w:r>
        <w:rPr>
          <w:rFonts w:hint="eastAsia" w:ascii="宋体" w:hAnsi="宋体" w:eastAsia="宋体" w:cs="宋体"/>
          <w:b/>
          <w:bCs w:val="0"/>
          <w:kern w:val="2"/>
          <w:sz w:val="21"/>
          <w:szCs w:val="21"/>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焊轮参数</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焊机型号：MSW-C1500-15-2R1PL</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 xml:space="preserve">焊轮材质： EKB-50；   </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 xml:space="preserve">焊轮直径：Φ320mm；    </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焊轮厚度：15mm；</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 xml:space="preserve">工作最大压力：30KN；    </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弧度：R75mm；</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电压：380V；</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焊接速度：2-15 m/min；</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 xml:space="preserve">最大电流：28 KA ； </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注：</w:t>
      </w:r>
      <w:r>
        <w:rPr>
          <w:rFonts w:hint="eastAsia" w:ascii="宋体" w:hAnsi="宋体" w:eastAsia="宋体" w:cs="宋体"/>
          <w:b/>
          <w:bCs/>
          <w:kern w:val="2"/>
          <w:sz w:val="21"/>
          <w:szCs w:val="21"/>
          <w:lang w:val="en-US" w:eastAsia="zh-CN"/>
        </w:rPr>
        <w:t>具体尺寸及参数详见图纸,严格按标准执行图纸技术参数。</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生产线基本参数</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生产带钢规格：0.25-3.0mm</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宽度：830-1660mm</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带钢线速度：180m/min</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高强钢屈服强度最大：1200MPa</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现场环境温度：-10℃-60℃</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焊轮必须与TMEIC窄搭接电阻焊机厂家原装进口备件具有互换性。</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满足工况条件和安装要求，在焊轮焊接各种（薄、厚）规格，焊接质量均能满足生产要求，球冲实验合格。</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焊接时均能适应现场工况条件并稳定运行，焊接后的焊缝进行球冲实验，球冲检测合格，同规格焊缝的检测温度与原有备件焊接后的焊缝温度偏差小于30℃。</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焊接后做到不易粘渣，焊轮工作面不易出现凹坑，并稳定运行。</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rPr>
        <w:t xml:space="preserve">乙方须提供备件的相关业绩，以确保试用备件属于成熟产品，能够满足酒钢镀锌线生产需求。     </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GB" w:eastAsia="zh-CN"/>
        </w:rPr>
        <w:t>供货范围的设备涉及原设计方的专有技术，乙方提供的设备必须是能够与在线件完全互换使用、达到在线件设备的技术水平。</w:t>
      </w:r>
      <w:r>
        <w:rPr>
          <w:rFonts w:hint="eastAsia" w:ascii="宋体" w:hAnsi="宋体" w:eastAsia="宋体" w:cs="宋体"/>
          <w:kern w:val="2"/>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3设备供货清单：</w:t>
      </w:r>
    </w:p>
    <w:tbl>
      <w:tblPr>
        <w:tblStyle w:val="5"/>
        <w:tblW w:w="8597" w:type="dxa"/>
        <w:jc w:val="center"/>
        <w:tblInd w:w="0" w:type="dxa"/>
        <w:tblLayout w:type="fixed"/>
        <w:tblCellMar>
          <w:top w:w="0" w:type="dxa"/>
          <w:left w:w="108" w:type="dxa"/>
          <w:bottom w:w="0" w:type="dxa"/>
          <w:right w:w="108" w:type="dxa"/>
        </w:tblCellMar>
      </w:tblPr>
      <w:tblGrid>
        <w:gridCol w:w="864"/>
        <w:gridCol w:w="1500"/>
        <w:gridCol w:w="2844"/>
        <w:gridCol w:w="1161"/>
        <w:gridCol w:w="2228"/>
      </w:tblGrid>
      <w:tr>
        <w:tblPrEx>
          <w:tblLayout w:type="fixed"/>
          <w:tblCellMar>
            <w:top w:w="0" w:type="dxa"/>
            <w:left w:w="108" w:type="dxa"/>
            <w:bottom w:w="0" w:type="dxa"/>
            <w:right w:w="108" w:type="dxa"/>
          </w:tblCellMar>
        </w:tblPrEx>
        <w:trPr>
          <w:trHeight w:val="556" w:hRule="atLeast"/>
          <w:jc w:val="center"/>
        </w:trPr>
        <w:tc>
          <w:tcPr>
            <w:tcW w:w="86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序号</w:t>
            </w:r>
          </w:p>
        </w:tc>
        <w:tc>
          <w:tcPr>
            <w:tcW w:w="150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物料编码</w:t>
            </w:r>
          </w:p>
        </w:tc>
        <w:tc>
          <w:tcPr>
            <w:tcW w:w="284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名称</w:t>
            </w:r>
          </w:p>
        </w:tc>
        <w:tc>
          <w:tcPr>
            <w:tcW w:w="116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数量</w:t>
            </w:r>
          </w:p>
        </w:tc>
        <w:tc>
          <w:tcPr>
            <w:tcW w:w="222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单位</w:t>
            </w:r>
          </w:p>
        </w:tc>
      </w:tr>
      <w:tr>
        <w:tblPrEx>
          <w:tblLayout w:type="fixed"/>
          <w:tblCellMar>
            <w:top w:w="0" w:type="dxa"/>
            <w:left w:w="108" w:type="dxa"/>
            <w:bottom w:w="0" w:type="dxa"/>
            <w:right w:w="108" w:type="dxa"/>
          </w:tblCellMar>
        </w:tblPrEx>
        <w:trPr>
          <w:trHeight w:val="678" w:hRule="atLeast"/>
          <w:jc w:val="center"/>
        </w:trPr>
        <w:tc>
          <w:tcPr>
            <w:tcW w:w="86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1</w:t>
            </w:r>
          </w:p>
        </w:tc>
        <w:tc>
          <w:tcPr>
            <w:tcW w:w="150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70344594</w:t>
            </w:r>
          </w:p>
        </w:tc>
        <w:tc>
          <w:tcPr>
            <w:tcW w:w="2844"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焊轮\EKB-50 H6S1292-1 窄搭接焊机</w:t>
            </w:r>
          </w:p>
        </w:tc>
        <w:tc>
          <w:tcPr>
            <w:tcW w:w="1161"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eastAsia="宋体" w:cs="宋体"/>
                <w:kern w:val="2"/>
                <w:sz w:val="21"/>
                <w:szCs w:val="21"/>
                <w:lang w:val="en-US" w:eastAsia="zh-CN"/>
              </w:rPr>
            </w:pPr>
            <w:r>
              <w:rPr>
                <w:rFonts w:hint="eastAsia" w:ascii="宋体" w:hAnsi="宋体" w:cs="宋体"/>
                <w:kern w:val="2"/>
                <w:sz w:val="21"/>
                <w:szCs w:val="21"/>
                <w:lang w:val="en-US" w:eastAsia="zh-CN"/>
              </w:rPr>
              <w:t>16</w:t>
            </w:r>
          </w:p>
        </w:tc>
        <w:tc>
          <w:tcPr>
            <w:tcW w:w="222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件</w:t>
            </w:r>
          </w:p>
        </w:tc>
      </w:tr>
    </w:tbl>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注：</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以上制作内容和数量以合同为准。</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以上所供备件若在使用过程中，出现备件本体质量问题，乙方负全责并重新制作新品。</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以上所供备件若在正常情况下使用，没有达到使用寿命，视为备件不合格，乙方负全责。</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jc w:val="both"/>
        <w:textAlignment w:val="auto"/>
        <w:rPr>
          <w:rFonts w:hint="eastAsia" w:ascii="宋体" w:hAnsi="宋体" w:eastAsia="宋体" w:cs="宋体"/>
          <w:b/>
          <w:bCs w:val="0"/>
          <w:kern w:val="2"/>
          <w:sz w:val="21"/>
          <w:szCs w:val="21"/>
          <w:lang w:val="en-US" w:eastAsia="zh-CN"/>
        </w:rPr>
      </w:pPr>
      <w:r>
        <w:rPr>
          <w:rFonts w:hint="eastAsia" w:ascii="宋体" w:hAnsi="宋体" w:cs="宋体"/>
          <w:b/>
          <w:bCs w:val="0"/>
          <w:kern w:val="2"/>
          <w:sz w:val="21"/>
          <w:szCs w:val="21"/>
          <w:lang w:val="en-US" w:eastAsia="zh-CN"/>
        </w:rPr>
        <w:t>三、</w:t>
      </w:r>
      <w:r>
        <w:rPr>
          <w:rFonts w:hint="eastAsia" w:ascii="宋体" w:hAnsi="宋体" w:eastAsia="宋体" w:cs="宋体"/>
          <w:b/>
          <w:bCs w:val="0"/>
          <w:kern w:val="2"/>
          <w:sz w:val="21"/>
          <w:szCs w:val="21"/>
          <w:lang w:val="en-US" w:eastAsia="zh-CN"/>
        </w:rPr>
        <w:t>双方义务和责任</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甲方：</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甲方提供工艺要求和使用要求，乙方秉着客户至上的原则，积极进行及时、准确的技术支持与服务，使产品满足最终性能要求和使用要求。</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 xml:space="preserve"> 向乙方提供技术规格要求，配合乙方完成备件的上线测试。</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乙方：</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保证试用备件制作质量，达到基本技术指标要求，满足使用寿命及现场安装使用条件；</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向甲方提交各项验收标准，检测检验报告；</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乙方提供的备件有规范的包装及附带出厂合格证；</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负责包装运输工作（目的地为酒钢现场），确保运输过程中不受损伤；</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试用备件上线后，在使用周期内，若出现备件质量、材料缺陷等问题引起生产中断，由乙方造成的，并承担甲方相应的经济损失。</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乙方在供货合同签订完成后按合同期限向甲方交货。</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在质保期内如因备件质量问题导致甲方发生设备或产品质量事故故障等，损失由乙方承担，并无偿提供合格件供甲方设备功能恢复的备件。</w:t>
      </w:r>
    </w:p>
    <w:p>
      <w:pPr>
        <w:ind w:firstLine="422" w:firstLineChars="200"/>
        <w:rPr>
          <w:rFonts w:hint="eastAsia" w:ascii="宋体" w:hAnsi="宋体" w:cs="宋体"/>
          <w:b/>
          <w:szCs w:val="21"/>
        </w:rPr>
      </w:pPr>
      <w:r>
        <w:rPr>
          <w:rFonts w:hint="eastAsia" w:ascii="宋体" w:hAnsi="宋体" w:cs="宋体"/>
          <w:b/>
          <w:szCs w:val="21"/>
        </w:rPr>
        <w:t>四  提供资料</w:t>
      </w:r>
    </w:p>
    <w:p>
      <w:pPr>
        <w:spacing w:line="360" w:lineRule="auto"/>
        <w:ind w:firstLine="420" w:firstLineChars="200"/>
        <w:rPr>
          <w:rFonts w:hint="eastAsia" w:ascii="宋体" w:hAnsi="宋体" w:cs="宋体"/>
          <w:szCs w:val="21"/>
        </w:rPr>
      </w:pPr>
      <w:r>
        <w:rPr>
          <w:rFonts w:hint="eastAsia" w:ascii="宋体" w:hAnsi="宋体" w:cs="宋体"/>
          <w:szCs w:val="21"/>
        </w:rPr>
        <w:t>4.1 乙方需向甲方提供产品合格证和检验报告。</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jc w:val="both"/>
        <w:textAlignment w:val="auto"/>
        <w:rPr>
          <w:rFonts w:hint="eastAsia" w:ascii="宋体" w:hAnsi="宋体" w:eastAsia="宋体" w:cs="宋体"/>
          <w:kern w:val="2"/>
          <w:sz w:val="21"/>
          <w:szCs w:val="21"/>
          <w:lang w:val="en-US" w:eastAsia="zh-CN"/>
        </w:rPr>
      </w:pPr>
      <w:r>
        <w:rPr>
          <w:rFonts w:hint="eastAsia" w:ascii="宋体" w:hAnsi="宋体" w:cs="宋体"/>
          <w:kern w:val="2"/>
          <w:sz w:val="21"/>
          <w:szCs w:val="21"/>
          <w:lang w:val="en-US" w:eastAsia="zh-CN"/>
        </w:rPr>
        <w:t xml:space="preserve">4.2 </w:t>
      </w:r>
      <w:r>
        <w:rPr>
          <w:rFonts w:hint="eastAsia" w:ascii="宋体" w:hAnsi="宋体" w:eastAsia="宋体" w:cs="宋体"/>
          <w:kern w:val="2"/>
          <w:sz w:val="21"/>
          <w:szCs w:val="21"/>
          <w:lang w:val="en-US" w:eastAsia="zh-CN"/>
        </w:rPr>
        <w:t>乙方向甲方提交各项检验标准、检验报告（包括尺寸公差、硬度、主要材质成分等），所有提交资料均为制造厂家出厂检验报告。</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jc w:val="both"/>
        <w:textAlignment w:val="auto"/>
        <w:rPr>
          <w:rFonts w:hint="eastAsia" w:ascii="宋体" w:hAnsi="宋体" w:eastAsia="宋体" w:cs="宋体"/>
          <w:kern w:val="2"/>
          <w:sz w:val="21"/>
          <w:szCs w:val="21"/>
          <w:lang w:val="en-US" w:eastAsia="zh-CN"/>
        </w:rPr>
      </w:pPr>
      <w:r>
        <w:rPr>
          <w:rFonts w:hint="eastAsia" w:ascii="宋体" w:hAnsi="宋体" w:cs="宋体"/>
          <w:kern w:val="2"/>
          <w:sz w:val="21"/>
          <w:szCs w:val="21"/>
          <w:lang w:val="en-US" w:eastAsia="zh-CN"/>
        </w:rPr>
        <w:t xml:space="preserve">4.3 </w:t>
      </w:r>
      <w:r>
        <w:rPr>
          <w:rFonts w:hint="eastAsia" w:ascii="宋体" w:hAnsi="宋体" w:eastAsia="宋体" w:cs="宋体"/>
          <w:kern w:val="2"/>
          <w:sz w:val="21"/>
          <w:szCs w:val="21"/>
          <w:lang w:val="en-US" w:eastAsia="zh-CN"/>
        </w:rPr>
        <w:t>乙方依照甲方规定的供货日期交货至甲方库房，并要对备件采用木箱包装运输，进行必要的保护和包装，在运输过程中，乙方对全部设备的完好无损负责。</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4.4 进口材料证明报告</w:t>
      </w:r>
    </w:p>
    <w:p>
      <w:pPr>
        <w:spacing w:line="360" w:lineRule="auto"/>
        <w:ind w:firstLine="422" w:firstLineChars="200"/>
        <w:rPr>
          <w:rFonts w:hint="eastAsia" w:ascii="宋体" w:hAnsi="宋体" w:cs="宋体"/>
          <w:b/>
          <w:szCs w:val="21"/>
        </w:rPr>
      </w:pPr>
      <w:r>
        <w:rPr>
          <w:rFonts w:hint="eastAsia" w:ascii="宋体" w:hAnsi="宋体" w:cs="宋体"/>
          <w:b/>
          <w:szCs w:val="21"/>
        </w:rPr>
        <w:t>五  售后服务及质量要求</w:t>
      </w:r>
    </w:p>
    <w:p>
      <w:pPr>
        <w:spacing w:line="360" w:lineRule="auto"/>
        <w:ind w:firstLine="420" w:firstLineChars="200"/>
        <w:outlineLvl w:val="0"/>
        <w:rPr>
          <w:rFonts w:hint="eastAsia" w:ascii="宋体" w:hAnsi="宋体" w:cs="宋体"/>
          <w:szCs w:val="21"/>
        </w:rPr>
      </w:pPr>
      <w:r>
        <w:rPr>
          <w:rFonts w:hint="eastAsia" w:ascii="宋体" w:hAnsi="宋体" w:cs="宋体"/>
          <w:color w:val="000000"/>
          <w:szCs w:val="21"/>
        </w:rPr>
        <w:t>5.1乙方应保证产品质量</w:t>
      </w:r>
      <w:r>
        <w:rPr>
          <w:rFonts w:hint="eastAsia" w:ascii="宋体" w:hAnsi="宋体" w:cs="宋体"/>
          <w:bCs/>
          <w:color w:val="000000"/>
          <w:szCs w:val="21"/>
        </w:rPr>
        <w:t>，如果上线出现质量问题，</w:t>
      </w:r>
      <w:r>
        <w:rPr>
          <w:rFonts w:hint="eastAsia" w:ascii="宋体" w:hAnsi="宋体" w:cs="宋体"/>
          <w:szCs w:val="21"/>
        </w:rPr>
        <w:t>乙方人员必须按照甲方规定的时间进行解决处理。在质保期内，因备件质量原因造成的一切损失，乙方将承担所有责任，处理方式如下：</w:t>
      </w:r>
    </w:p>
    <w:p>
      <w:pPr>
        <w:spacing w:before="60" w:after="60" w:line="360" w:lineRule="auto"/>
        <w:ind w:firstLine="420" w:firstLineChars="200"/>
        <w:rPr>
          <w:rFonts w:hint="eastAsia" w:ascii="宋体" w:hAnsi="宋体" w:cs="宋体"/>
          <w:szCs w:val="21"/>
        </w:rPr>
      </w:pPr>
      <w:r>
        <w:rPr>
          <w:rFonts w:hint="eastAsia" w:ascii="宋体" w:hAnsi="宋体" w:cs="宋体"/>
          <w:szCs w:val="21"/>
        </w:rPr>
        <w:t>a.无偿返修：返修后，其质保期重新投入使用之日计算。</w:t>
      </w:r>
    </w:p>
    <w:p>
      <w:pPr>
        <w:spacing w:before="60" w:after="60" w:line="360" w:lineRule="auto"/>
        <w:ind w:firstLine="420" w:firstLineChars="200"/>
        <w:rPr>
          <w:rFonts w:hint="eastAsia" w:ascii="宋体" w:hAnsi="宋体" w:cs="宋体"/>
          <w:szCs w:val="21"/>
        </w:rPr>
      </w:pPr>
      <w:r>
        <w:rPr>
          <w:rFonts w:hint="eastAsia" w:ascii="宋体" w:hAnsi="宋体" w:cs="宋体"/>
          <w:szCs w:val="21"/>
        </w:rPr>
        <w:t>b.赔偿由于修复质量问题而造成的损失。如发现乙方违反国家标准或相关技术文件的有关规定，不遵守质量承诺，甲方有权对乙方进行经济处罚，甚至停止乙方的供货资格，情节严重的，可以按照法律程序进行索赔。</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5.2 质量要求：本设备质量保证期为上线使用12个月或设备交付后1</w:t>
      </w:r>
      <w:r>
        <w:rPr>
          <w:rFonts w:ascii="宋体" w:hAnsi="宋体" w:cs="宋体"/>
          <w:color w:val="000000"/>
          <w:szCs w:val="21"/>
        </w:rPr>
        <w:t>8个月，先到为准</w:t>
      </w:r>
      <w:r>
        <w:rPr>
          <w:rFonts w:hint="eastAsia" w:ascii="宋体" w:hAnsi="宋体" w:cs="宋体"/>
          <w:color w:val="000000"/>
          <w:szCs w:val="21"/>
        </w:rPr>
        <w:t>。在质量保证期内出现的质量问题，乙方必须及时无偿予以解决。本设备投入使用后六个月内如发生质量问题，甲方有权索赔，设备在运输过程中出现的损坏由乙方承当责任。备件更换安装时互换性出现问题乙方必须给予及时解决，由此产生的一切费用由乙方承担并赔偿。</w:t>
      </w:r>
    </w:p>
    <w:p>
      <w:pPr>
        <w:spacing w:line="360" w:lineRule="auto"/>
        <w:ind w:firstLine="422" w:firstLineChars="200"/>
        <w:outlineLvl w:val="0"/>
        <w:rPr>
          <w:rFonts w:hint="eastAsia" w:ascii="宋体" w:hAnsi="宋体" w:cs="宋体"/>
          <w:b/>
          <w:szCs w:val="21"/>
        </w:rPr>
      </w:pPr>
      <w:r>
        <w:rPr>
          <w:rFonts w:hint="eastAsia" w:ascii="宋体" w:hAnsi="宋体" w:cs="宋体"/>
          <w:b/>
          <w:szCs w:val="21"/>
        </w:rPr>
        <w:t>六  包装要求</w:t>
      </w:r>
    </w:p>
    <w:p>
      <w:pPr>
        <w:widowControl/>
        <w:tabs>
          <w:tab w:val="left" w:pos="-180"/>
          <w:tab w:val="left" w:pos="-120"/>
          <w:tab w:val="left" w:pos="720"/>
        </w:tabs>
        <w:spacing w:line="360" w:lineRule="auto"/>
        <w:ind w:firstLine="420" w:firstLineChars="200"/>
        <w:jc w:val="left"/>
        <w:rPr>
          <w:rFonts w:hint="eastAsia" w:ascii="宋体" w:hAnsi="宋体" w:cs="宋体"/>
          <w:szCs w:val="21"/>
        </w:rPr>
      </w:pPr>
      <w:r>
        <w:rPr>
          <w:rFonts w:hint="eastAsia" w:ascii="宋体" w:hAnsi="宋体" w:cs="宋体"/>
          <w:szCs w:val="21"/>
        </w:rPr>
        <w:t>6.1</w:t>
      </w:r>
      <w:r>
        <w:rPr>
          <w:rFonts w:hint="eastAsia" w:ascii="宋体" w:hAnsi="宋体" w:cs="宋体"/>
          <w:color w:val="000000"/>
          <w:szCs w:val="21"/>
        </w:rPr>
        <w:t>发货前对</w:t>
      </w:r>
      <w:r>
        <w:rPr>
          <w:rFonts w:hint="eastAsia" w:ascii="宋体" w:hAnsi="宋体" w:cs="宋体"/>
          <w:color w:val="000000"/>
          <w:szCs w:val="21"/>
          <w:lang w:val="en-US" w:eastAsia="zh-CN"/>
        </w:rPr>
        <w:t>备件</w:t>
      </w:r>
      <w:r>
        <w:rPr>
          <w:rFonts w:hint="eastAsia" w:ascii="宋体" w:hAnsi="宋体" w:cs="宋体"/>
          <w:color w:val="000000"/>
          <w:szCs w:val="21"/>
        </w:rPr>
        <w:t>进行</w:t>
      </w:r>
      <w:r>
        <w:rPr>
          <w:rFonts w:hint="eastAsia" w:ascii="宋体" w:hAnsi="宋体" w:cs="宋体"/>
          <w:color w:val="000000"/>
          <w:szCs w:val="21"/>
          <w:lang w:val="en-US" w:eastAsia="zh-CN"/>
        </w:rPr>
        <w:t>木箱</w:t>
      </w:r>
      <w:r>
        <w:rPr>
          <w:rFonts w:hint="eastAsia" w:ascii="宋体" w:hAnsi="宋体" w:cs="宋体"/>
          <w:color w:val="000000"/>
          <w:szCs w:val="21"/>
        </w:rPr>
        <w:t>包装防护，避免运输过程受到损坏</w:t>
      </w:r>
      <w:r>
        <w:rPr>
          <w:rFonts w:hint="eastAsia" w:ascii="宋体" w:hAnsi="宋体" w:cs="宋体"/>
          <w:szCs w:val="21"/>
        </w:rPr>
        <w:t>。</w:t>
      </w:r>
    </w:p>
    <w:p>
      <w:pPr>
        <w:spacing w:line="360" w:lineRule="auto"/>
        <w:ind w:firstLine="420" w:firstLineChars="200"/>
        <w:rPr>
          <w:rFonts w:hint="default" w:ascii="宋体" w:hAnsi="宋体" w:cs="宋体"/>
          <w:szCs w:val="21"/>
          <w:lang w:val="en-US" w:eastAsia="zh-CN"/>
        </w:rPr>
      </w:pPr>
    </w:p>
    <w:p>
      <w:pPr>
        <w:tabs>
          <w:tab w:val="left" w:pos="0"/>
          <w:tab w:val="left" w:pos="720"/>
          <w:tab w:val="left" w:pos="900"/>
          <w:tab w:val="left" w:pos="1080"/>
        </w:tabs>
        <w:spacing w:line="360" w:lineRule="auto"/>
        <w:ind w:firstLine="422" w:firstLineChars="200"/>
        <w:rPr>
          <w:rFonts w:hint="eastAsia" w:ascii="宋体" w:hAnsi="宋体" w:cs="宋体"/>
          <w:b/>
          <w:szCs w:val="21"/>
        </w:rPr>
      </w:pPr>
      <w:r>
        <w:rPr>
          <w:rFonts w:hint="eastAsia" w:ascii="宋体" w:hAnsi="宋体" w:cs="宋体"/>
          <w:b/>
          <w:szCs w:val="21"/>
        </w:rPr>
        <w:t>七  其它</w:t>
      </w:r>
    </w:p>
    <w:p>
      <w:pPr>
        <w:tabs>
          <w:tab w:val="left" w:pos="540"/>
          <w:tab w:val="left" w:pos="720"/>
          <w:tab w:val="left" w:pos="1080"/>
        </w:tabs>
        <w:spacing w:line="360" w:lineRule="auto"/>
        <w:ind w:firstLine="420" w:firstLineChars="200"/>
        <w:rPr>
          <w:rFonts w:hint="eastAsia" w:ascii="宋体" w:hAnsi="宋体" w:cs="宋体"/>
          <w:szCs w:val="21"/>
        </w:rPr>
      </w:pPr>
      <w:r>
        <w:rPr>
          <w:rFonts w:hint="eastAsia" w:ascii="宋体" w:hAnsi="宋体" w:cs="宋体"/>
          <w:szCs w:val="21"/>
        </w:rPr>
        <w:t>7.1 本协议中未尽事宜，双方协商解决。</w:t>
      </w:r>
    </w:p>
    <w:p>
      <w:pPr>
        <w:tabs>
          <w:tab w:val="left" w:pos="540"/>
          <w:tab w:val="left" w:pos="720"/>
          <w:tab w:val="left" w:pos="1080"/>
        </w:tabs>
        <w:spacing w:line="360" w:lineRule="auto"/>
        <w:ind w:firstLine="420" w:firstLineChars="200"/>
        <w:rPr>
          <w:rFonts w:hint="eastAsia" w:ascii="宋体" w:hAnsi="宋体" w:cs="宋体"/>
          <w:b/>
          <w:kern w:val="0"/>
          <w:szCs w:val="21"/>
          <w:lang w:val="sq-AL"/>
        </w:rPr>
      </w:pPr>
      <w:r>
        <w:rPr>
          <w:rFonts w:hint="eastAsia" w:ascii="宋体" w:hAnsi="宋体" w:cs="宋体"/>
          <w:szCs w:val="21"/>
        </w:rPr>
        <w:t>7.2 本协议一式</w:t>
      </w:r>
      <w:r>
        <w:rPr>
          <w:rFonts w:hint="eastAsia" w:ascii="宋体" w:hAnsi="宋体" w:cs="宋体"/>
          <w:szCs w:val="21"/>
          <w:lang w:val="en-US" w:eastAsia="zh-CN"/>
        </w:rPr>
        <w:t>俩</w:t>
      </w:r>
      <w:r>
        <w:rPr>
          <w:rFonts w:hint="eastAsia" w:ascii="宋体" w:hAnsi="宋体" w:cs="宋体"/>
          <w:szCs w:val="21"/>
        </w:rPr>
        <w:t>份，甲乙</w:t>
      </w:r>
      <w:r>
        <w:rPr>
          <w:rFonts w:hint="eastAsia" w:ascii="宋体" w:hAnsi="宋体" w:cs="宋体"/>
          <w:szCs w:val="21"/>
          <w:lang w:val="en-US" w:eastAsia="zh-CN"/>
        </w:rPr>
        <w:t>各</w:t>
      </w:r>
      <w:r>
        <w:rPr>
          <w:rFonts w:hint="eastAsia" w:ascii="宋体" w:hAnsi="宋体" w:cs="宋体"/>
          <w:szCs w:val="21"/>
        </w:rPr>
        <w:t>一份。</w:t>
      </w:r>
    </w:p>
    <w:p>
      <w:pPr>
        <w:pStyle w:val="10"/>
        <w:numPr>
          <w:ilvl w:val="0"/>
          <w:numId w:val="6"/>
        </w:numPr>
        <w:tabs>
          <w:tab w:val="left" w:pos="993"/>
        </w:tabs>
        <w:spacing w:line="360" w:lineRule="auto"/>
        <w:ind w:firstLine="420"/>
        <w:rPr>
          <w:rFonts w:hint="eastAsia" w:ascii="宋体" w:hAnsi="宋体" w:cs="宋体"/>
          <w:vanish/>
          <w:kern w:val="0"/>
          <w:szCs w:val="21"/>
          <w:lang w:val="sq-AL"/>
        </w:rPr>
      </w:pPr>
    </w:p>
    <w:p>
      <w:pPr>
        <w:tabs>
          <w:tab w:val="left" w:pos="993"/>
        </w:tabs>
        <w:spacing w:line="360" w:lineRule="auto"/>
        <w:ind w:firstLine="420" w:firstLineChars="200"/>
        <w:rPr>
          <w:rFonts w:hint="eastAsia" w:ascii="宋体" w:hAnsi="宋体" w:cs="宋体"/>
          <w:kern w:val="0"/>
          <w:szCs w:val="21"/>
          <w:lang w:val="sq-AL"/>
        </w:rPr>
      </w:pPr>
      <w:r>
        <w:rPr>
          <w:rFonts w:hint="eastAsia" w:ascii="宋体" w:hAnsi="宋体" w:cs="宋体"/>
          <w:kern w:val="0"/>
          <w:szCs w:val="21"/>
        </w:rPr>
        <w:t xml:space="preserve">7.3 </w:t>
      </w:r>
      <w:r>
        <w:rPr>
          <w:rFonts w:hint="eastAsia" w:ascii="宋体" w:hAnsi="宋体" w:cs="宋体"/>
          <w:kern w:val="0"/>
          <w:szCs w:val="21"/>
          <w:lang w:val="sq-AL"/>
        </w:rPr>
        <w:t>本技术规格书由甲、乙双方授权代表签字盖章后随商务合同同时生效。</w:t>
      </w:r>
    </w:p>
    <w:p>
      <w:pPr>
        <w:tabs>
          <w:tab w:val="left" w:pos="993"/>
        </w:tabs>
        <w:spacing w:line="360" w:lineRule="auto"/>
        <w:ind w:firstLine="420" w:firstLineChars="200"/>
        <w:rPr>
          <w:rFonts w:hint="eastAsia" w:ascii="宋体" w:hAnsi="宋体" w:cs="宋体"/>
          <w:kern w:val="0"/>
          <w:szCs w:val="21"/>
          <w:lang w:val="sq-AL"/>
        </w:rPr>
      </w:pPr>
      <w:r>
        <w:rPr>
          <w:rFonts w:hint="eastAsia" w:ascii="宋体" w:hAnsi="宋体" w:cs="宋体"/>
          <w:kern w:val="0"/>
          <w:szCs w:val="21"/>
        </w:rPr>
        <w:t xml:space="preserve">7.4 </w:t>
      </w:r>
      <w:r>
        <w:rPr>
          <w:rFonts w:hint="eastAsia" w:ascii="宋体" w:hAnsi="宋体" w:cs="宋体"/>
          <w:kern w:val="0"/>
          <w:szCs w:val="21"/>
          <w:lang w:val="sq-AL"/>
        </w:rPr>
        <w:t>本技术规格书作为商务合同的附件，具有同等法律效力。</w:t>
      </w:r>
    </w:p>
    <w:p>
      <w:pPr>
        <w:tabs>
          <w:tab w:val="left" w:pos="993"/>
        </w:tabs>
        <w:spacing w:line="360" w:lineRule="auto"/>
        <w:ind w:firstLine="420" w:firstLineChars="200"/>
        <w:rPr>
          <w:rFonts w:hint="eastAsia" w:ascii="宋体" w:hAnsi="宋体" w:cs="宋体"/>
          <w:kern w:val="0"/>
          <w:szCs w:val="21"/>
          <w:lang w:val="sq-AL"/>
        </w:rPr>
      </w:pPr>
      <w:r>
        <w:rPr>
          <w:rFonts w:hint="eastAsia" w:ascii="宋体" w:hAnsi="宋体" w:cs="宋体"/>
          <w:kern w:val="0"/>
          <w:szCs w:val="21"/>
        </w:rPr>
        <w:t xml:space="preserve">7.5 </w:t>
      </w:r>
      <w:r>
        <w:rPr>
          <w:rFonts w:hint="eastAsia" w:ascii="宋体" w:hAnsi="宋体" w:cs="宋体"/>
          <w:kern w:val="0"/>
          <w:szCs w:val="21"/>
          <w:lang w:val="sq-AL"/>
        </w:rPr>
        <w:t>在履行合同期间，由双方代表签署的往来信函、传真、会议记要等，将成为本</w:t>
      </w:r>
      <w:r>
        <w:rPr>
          <w:rFonts w:hint="eastAsia" w:ascii="宋体" w:hAnsi="宋体" w:cs="宋体"/>
          <w:kern w:val="0"/>
          <w:szCs w:val="21"/>
          <w:lang w:val="sq-AL" w:eastAsia="zh-CN"/>
        </w:rPr>
        <w:t>技术规格书</w:t>
      </w:r>
      <w:r>
        <w:rPr>
          <w:rFonts w:hint="eastAsia" w:ascii="宋体" w:hAnsi="宋体" w:cs="宋体"/>
          <w:kern w:val="0"/>
          <w:szCs w:val="21"/>
          <w:lang w:val="sq-AL"/>
        </w:rPr>
        <w:t>不可分割的组成部分。</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rPr>
        <w:t>7.</w:t>
      </w:r>
      <w:r>
        <w:rPr>
          <w:rFonts w:hint="eastAsia" w:ascii="宋体" w:hAnsi="宋体" w:cs="宋体"/>
          <w:kern w:val="0"/>
          <w:szCs w:val="21"/>
          <w:lang w:val="en-US" w:eastAsia="zh-CN"/>
        </w:rPr>
        <w:t>6</w:t>
      </w:r>
      <w:r>
        <w:rPr>
          <w:rFonts w:hint="eastAsia" w:ascii="宋体" w:hAnsi="宋体" w:cs="宋体"/>
          <w:kern w:val="0"/>
          <w:szCs w:val="21"/>
        </w:rPr>
        <w:t xml:space="preserve"> 依据使用情况，甲方保留再次修订完善</w:t>
      </w:r>
      <w:r>
        <w:rPr>
          <w:rFonts w:hint="eastAsia" w:ascii="宋体" w:hAnsi="宋体" w:cs="宋体"/>
          <w:kern w:val="0"/>
          <w:szCs w:val="21"/>
          <w:lang w:eastAsia="zh-CN"/>
        </w:rPr>
        <w:t>技术规格书</w:t>
      </w:r>
      <w:r>
        <w:rPr>
          <w:rFonts w:hint="eastAsia" w:ascii="宋体" w:hAnsi="宋体" w:cs="宋体"/>
          <w:kern w:val="0"/>
          <w:szCs w:val="21"/>
        </w:rPr>
        <w:t>的权利。</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rPr>
        <w:t>7.</w:t>
      </w:r>
      <w:r>
        <w:rPr>
          <w:rFonts w:hint="eastAsia" w:ascii="宋体" w:hAnsi="宋体" w:cs="宋体"/>
          <w:kern w:val="0"/>
          <w:szCs w:val="21"/>
          <w:lang w:val="en-US" w:eastAsia="zh-CN"/>
        </w:rPr>
        <w:t>7</w:t>
      </w:r>
      <w:r>
        <w:rPr>
          <w:rFonts w:hint="eastAsia" w:ascii="宋体" w:hAnsi="宋体" w:cs="宋体"/>
          <w:kern w:val="0"/>
          <w:szCs w:val="21"/>
        </w:rPr>
        <w:t>其它未尽事宜甲乙双方协商解决。</w:t>
      </w:r>
    </w:p>
    <w:p>
      <w:pPr>
        <w:tabs>
          <w:tab w:val="left" w:pos="993"/>
        </w:tabs>
        <w:spacing w:line="360" w:lineRule="auto"/>
        <w:ind w:firstLine="420" w:firstLineChars="200"/>
        <w:rPr>
          <w:rFonts w:hint="eastAsia" w:ascii="宋体" w:hAnsi="宋体" w:cs="宋体"/>
          <w:kern w:val="0"/>
          <w:szCs w:val="21"/>
          <w:lang w:val="en-US" w:eastAsia="zh-CN"/>
        </w:rPr>
      </w:pPr>
      <w:r>
        <w:rPr>
          <w:rFonts w:hint="eastAsia" w:ascii="宋体" w:hAnsi="宋体" w:cs="宋体"/>
          <w:kern w:val="0"/>
          <w:szCs w:val="21"/>
        </w:rPr>
        <w:t>7.</w:t>
      </w:r>
      <w:r>
        <w:rPr>
          <w:rFonts w:hint="eastAsia" w:ascii="宋体" w:hAnsi="宋体" w:cs="宋体"/>
          <w:kern w:val="0"/>
          <w:szCs w:val="21"/>
          <w:lang w:val="en-US" w:eastAsia="zh-CN"/>
        </w:rPr>
        <w:t>8本规格书内容经由甲乙双方于     年    月    日    时至</w:t>
      </w:r>
      <w:bookmarkStart w:id="0" w:name="_GoBack"/>
      <w:bookmarkEnd w:id="0"/>
      <w:r>
        <w:rPr>
          <w:rFonts w:hint="eastAsia" w:ascii="宋体" w:hAnsi="宋体" w:cs="宋体"/>
          <w:kern w:val="0"/>
          <w:szCs w:val="21"/>
          <w:lang w:val="en-US" w:eastAsia="zh-CN"/>
        </w:rPr>
        <w:t xml:space="preserve">    时通过         方式商定。</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lang w:val="en-US" w:eastAsia="zh-CN"/>
        </w:rPr>
        <w:t>7.9</w:t>
      </w:r>
      <w:r>
        <w:rPr>
          <w:rFonts w:hint="eastAsia" w:ascii="宋体" w:hAnsi="宋体" w:cs="宋体"/>
          <w:kern w:val="0"/>
          <w:szCs w:val="21"/>
        </w:rPr>
        <w:t>甲乙双方应当就签订本规格书的相关事宜保密，不得将签订主体、时间、内容等信息透露给其他第三人。</w:t>
      </w:r>
    </w:p>
    <w:p>
      <w:pPr>
        <w:tabs>
          <w:tab w:val="left" w:pos="993"/>
        </w:tabs>
        <w:spacing w:line="360" w:lineRule="auto"/>
        <w:ind w:firstLine="420" w:firstLineChars="200"/>
        <w:rPr>
          <w:rFonts w:hint="eastAsia" w:ascii="宋体" w:hAnsi="宋体" w:cs="宋体"/>
          <w:b/>
          <w:kern w:val="0"/>
          <w:szCs w:val="21"/>
        </w:rPr>
      </w:pPr>
      <w:r>
        <w:rPr>
          <w:rFonts w:hint="eastAsia" w:ascii="宋体" w:hAnsi="宋体" w:cs="宋体"/>
          <w:kern w:val="0"/>
          <w:szCs w:val="21"/>
        </w:rPr>
        <w:t>7.</w:t>
      </w:r>
      <w:r>
        <w:rPr>
          <w:rFonts w:hint="eastAsia" w:ascii="宋体" w:hAnsi="宋体" w:cs="宋体"/>
          <w:kern w:val="0"/>
          <w:szCs w:val="21"/>
          <w:lang w:val="en-US" w:eastAsia="zh-CN"/>
        </w:rPr>
        <w:t>910</w:t>
      </w:r>
      <w:r>
        <w:rPr>
          <w:rFonts w:hint="eastAsia" w:ascii="宋体" w:hAnsi="宋体" w:cs="宋体"/>
          <w:kern w:val="0"/>
          <w:szCs w:val="21"/>
        </w:rPr>
        <w:t>若乙方公司不能中标，则</w:t>
      </w:r>
      <w:r>
        <w:rPr>
          <w:rFonts w:hint="eastAsia" w:ascii="宋体" w:hAnsi="宋体" w:cs="宋体"/>
          <w:kern w:val="0"/>
          <w:szCs w:val="21"/>
          <w:lang w:val="sq-AL"/>
        </w:rPr>
        <w:t>本技术规格书</w:t>
      </w:r>
      <w:r>
        <w:rPr>
          <w:rFonts w:hint="eastAsia" w:ascii="宋体" w:hAnsi="宋体" w:cs="宋体"/>
          <w:kern w:val="0"/>
          <w:szCs w:val="21"/>
        </w:rPr>
        <w:t>自动失效，双方互不承担任何责任</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p>
    <w:p>
      <w:pPr>
        <w:tabs>
          <w:tab w:val="left" w:pos="1943"/>
        </w:tabs>
        <w:adjustRightInd w:val="0"/>
        <w:spacing w:line="360" w:lineRule="auto"/>
        <w:ind w:firstLine="422" w:firstLineChars="200"/>
        <w:jc w:val="left"/>
        <w:textAlignment w:val="baseline"/>
        <w:rPr>
          <w:rFonts w:hint="eastAsia" w:ascii="宋体" w:hAnsi="宋体" w:cs="宋体"/>
          <w:b w:val="0"/>
          <w:bCs/>
          <w:kern w:val="0"/>
          <w:szCs w:val="21"/>
          <w:lang w:eastAsia="zh-CN"/>
        </w:rPr>
      </w:pPr>
      <w:r>
        <w:rPr>
          <w:rFonts w:hint="eastAsia" w:ascii="宋体" w:hAnsi="宋体" w:cs="宋体"/>
          <w:b/>
          <w:kern w:val="0"/>
          <w:szCs w:val="21"/>
        </w:rPr>
        <w:t>甲方：</w:t>
      </w:r>
      <w:r>
        <w:rPr>
          <w:rFonts w:hint="eastAsia" w:ascii="宋体" w:hAnsi="宋体" w:cs="宋体"/>
          <w:b w:val="0"/>
          <w:bCs/>
          <w:kern w:val="0"/>
          <w:szCs w:val="21"/>
        </w:rPr>
        <w:t>酒钢集团</w:t>
      </w:r>
      <w:r>
        <w:rPr>
          <w:rFonts w:hint="eastAsia" w:ascii="宋体" w:hAnsi="宋体" w:cs="宋体"/>
          <w:b w:val="0"/>
          <w:bCs/>
          <w:kern w:val="0"/>
          <w:szCs w:val="21"/>
          <w:lang w:eastAsia="zh-CN"/>
        </w:rPr>
        <w:t>甘肃宏兴宏宇新材料有限责任公司</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代表：                           </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（签字盖章）  </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                                       年    月    日 </w:t>
      </w:r>
    </w:p>
    <w:p>
      <w:pPr>
        <w:tabs>
          <w:tab w:val="left" w:pos="1943"/>
        </w:tabs>
        <w:adjustRightInd w:val="0"/>
        <w:spacing w:line="360" w:lineRule="auto"/>
        <w:ind w:firstLine="422" w:firstLineChars="200"/>
        <w:jc w:val="left"/>
        <w:textAlignment w:val="baseline"/>
        <w:rPr>
          <w:rFonts w:hint="eastAsia" w:ascii="宋体" w:hAnsi="宋体" w:cs="宋体"/>
          <w:b/>
          <w:kern w:val="0"/>
          <w:szCs w:val="21"/>
          <w:lang w:val="en-US" w:eastAsia="zh-CN"/>
        </w:rPr>
      </w:pPr>
      <w:r>
        <w:rPr>
          <w:rFonts w:hint="eastAsia" w:ascii="宋体" w:hAnsi="宋体" w:cs="宋体"/>
          <w:b/>
          <w:kern w:val="0"/>
          <w:szCs w:val="21"/>
        </w:rPr>
        <w:t>乙方：</w:t>
      </w:r>
      <w:r>
        <w:rPr>
          <w:rFonts w:hint="eastAsia" w:ascii="宋体" w:hAnsi="宋体" w:cs="宋体"/>
          <w:b/>
          <w:kern w:val="0"/>
          <w:szCs w:val="21"/>
          <w:lang w:val="en-US" w:eastAsia="zh-CN"/>
        </w:rPr>
        <w:t xml:space="preserve"> </w:t>
      </w:r>
    </w:p>
    <w:p>
      <w:pPr>
        <w:tabs>
          <w:tab w:val="left" w:pos="1943"/>
        </w:tabs>
        <w:adjustRightInd w:val="0"/>
        <w:spacing w:line="360" w:lineRule="auto"/>
        <w:ind w:firstLine="422" w:firstLineChars="200"/>
        <w:jc w:val="left"/>
        <w:textAlignment w:val="baseline"/>
        <w:rPr>
          <w:rFonts w:hint="eastAsia" w:ascii="宋体" w:hAnsi="宋体" w:cs="宋体"/>
          <w:b/>
          <w:kern w:val="0"/>
          <w:szCs w:val="21"/>
          <w:lang w:val="en-US" w:eastAsia="zh-CN"/>
        </w:rPr>
      </w:pP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代表：</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（签字盖章）  </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                                       年    月    日 </w:t>
      </w:r>
    </w:p>
    <w:p>
      <w:pPr>
        <w:rPr>
          <w:rFonts w:hint="eastAsia" w:ascii="宋体" w:hAnsi="宋体" w:eastAsia="宋体" w:cs="宋体"/>
          <w:sz w:val="21"/>
          <w:szCs w:val="21"/>
        </w:rPr>
      </w:pPr>
    </w:p>
    <w:sectPr>
      <w:headerReference r:id="rId3" w:type="default"/>
      <w:footerReference r:id="rId4" w:type="default"/>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embedRegular r:id="rId1" w:fontKey="{8E99B6C8-26FE-4972-801B-D3D08ABE67C9}"/>
  </w:font>
  <w:font w:name="仿宋_GB2312">
    <w:panose1 w:val="02010609030101010101"/>
    <w:charset w:val="86"/>
    <w:family w:val="auto"/>
    <w:pitch w:val="default"/>
    <w:sig w:usb0="00000000" w:usb1="00000000" w:usb2="00000000" w:usb3="00000000" w:csb0="00000000" w:csb1="00000000"/>
    <w:embedRegular r:id="rId2" w:fontKey="{B5B35E39-622F-4E20-AD71-D65BE76F442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7</w: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2A7A3E"/>
    <w:multiLevelType w:val="singleLevel"/>
    <w:tmpl w:val="882A7A3E"/>
    <w:lvl w:ilvl="0" w:tentative="0">
      <w:start w:val="1"/>
      <w:numFmt w:val="decimal"/>
      <w:suff w:val="nothing"/>
      <w:lvlText w:val="%1．"/>
      <w:lvlJc w:val="left"/>
      <w:pPr>
        <w:ind w:left="0" w:firstLine="400"/>
      </w:pPr>
      <w:rPr>
        <w:rFonts w:hint="default"/>
      </w:rPr>
    </w:lvl>
  </w:abstractNum>
  <w:abstractNum w:abstractNumId="1">
    <w:nsid w:val="9153A2BB"/>
    <w:multiLevelType w:val="multilevel"/>
    <w:tmpl w:val="9153A2BB"/>
    <w:lvl w:ilvl="0" w:tentative="0">
      <w:start w:val="1"/>
      <w:numFmt w:val="decimal"/>
      <w:lvlText w:val="%1"/>
      <w:lvlJc w:val="left"/>
      <w:pPr>
        <w:ind w:left="425" w:hanging="425"/>
      </w:pPr>
      <w:rPr>
        <w:rFonts w:hint="default"/>
      </w:rPr>
    </w:lvl>
    <w:lvl w:ilvl="1" w:tentative="0">
      <w:start w:val="1"/>
      <w:numFmt w:val="decimal"/>
      <w:lvlText w:val="%1.%2"/>
      <w:lvlJc w:val="left"/>
      <w:pPr>
        <w:ind w:left="992" w:hanging="567"/>
      </w:pPr>
    </w:lvl>
    <w:lvl w:ilvl="2" w:tentative="0">
      <w:start w:val="1"/>
      <w:numFmt w:val="decimal"/>
      <w:suff w:val="space"/>
      <w:lvlText w:val="%1.%2.%3"/>
      <w:lvlJc w:val="left"/>
      <w:pPr>
        <w:ind w:left="851" w:hanging="567"/>
      </w:pPr>
    </w:lvl>
    <w:lvl w:ilvl="3" w:tentative="0">
      <w:start w:val="1"/>
      <w:numFmt w:val="decimal"/>
      <w:suff w:val="nothing"/>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
    <w:nsid w:val="BA2DB33B"/>
    <w:multiLevelType w:val="multilevel"/>
    <w:tmpl w:val="BA2DB33B"/>
    <w:lvl w:ilvl="0" w:tentative="0">
      <w:start w:val="1"/>
      <w:numFmt w:val="decimal"/>
      <w:lvlText w:val="%1"/>
      <w:lvlJc w:val="left"/>
      <w:pPr>
        <w:ind w:left="425" w:hanging="425"/>
      </w:pPr>
      <w:rPr>
        <w:rFonts w:hint="default"/>
      </w:rPr>
    </w:lvl>
    <w:lvl w:ilvl="1" w:tentative="0">
      <w:start w:val="1"/>
      <w:numFmt w:val="decimal"/>
      <w:lvlText w:val="%1.%2"/>
      <w:lvlJc w:val="left"/>
      <w:pPr>
        <w:ind w:left="992" w:hanging="567"/>
      </w:pPr>
    </w:lvl>
    <w:lvl w:ilvl="2" w:tentative="0">
      <w:start w:val="1"/>
      <w:numFmt w:val="decimal"/>
      <w:suff w:val="space"/>
      <w:lvlText w:val="%1.%2.%3"/>
      <w:lvlJc w:val="left"/>
      <w:pPr>
        <w:ind w:left="851" w:hanging="567"/>
      </w:pPr>
    </w:lvl>
    <w:lvl w:ilvl="3" w:tentative="0">
      <w:start w:val="1"/>
      <w:numFmt w:val="decimal"/>
      <w:suff w:val="nothing"/>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3">
    <w:nsid w:val="D5EC9CBF"/>
    <w:multiLevelType w:val="singleLevel"/>
    <w:tmpl w:val="D5EC9CBF"/>
    <w:lvl w:ilvl="0" w:tentative="0">
      <w:start w:val="1"/>
      <w:numFmt w:val="decimal"/>
      <w:suff w:val="nothing"/>
      <w:lvlText w:val="%1．"/>
      <w:lvlJc w:val="left"/>
      <w:pPr>
        <w:ind w:left="0" w:firstLine="400"/>
      </w:pPr>
      <w:rPr>
        <w:rFonts w:hint="default"/>
      </w:rPr>
    </w:lvl>
  </w:abstractNum>
  <w:abstractNum w:abstractNumId="4">
    <w:nsid w:val="152CA19B"/>
    <w:multiLevelType w:val="multilevel"/>
    <w:tmpl w:val="152CA19B"/>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4679"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5">
    <w:nsid w:val="7A6EBD99"/>
    <w:multiLevelType w:val="multilevel"/>
    <w:tmpl w:val="7A6EBD99"/>
    <w:lvl w:ilvl="0" w:tentative="0">
      <w:start w:val="1"/>
      <w:numFmt w:val="decimal"/>
      <w:lvlText w:val="%1"/>
      <w:lvlJc w:val="left"/>
      <w:pPr>
        <w:ind w:left="425" w:hanging="425"/>
      </w:pPr>
      <w:rPr>
        <w:rFonts w:hint="default"/>
      </w:rPr>
    </w:lvl>
    <w:lvl w:ilvl="1" w:tentative="0">
      <w:start w:val="1"/>
      <w:numFmt w:val="decimal"/>
      <w:lvlText w:val="%1.%2"/>
      <w:lvlJc w:val="left"/>
      <w:pPr>
        <w:ind w:left="992" w:hanging="567"/>
      </w:pPr>
    </w:lvl>
    <w:lvl w:ilvl="2" w:tentative="0">
      <w:start w:val="1"/>
      <w:numFmt w:val="decimal"/>
      <w:suff w:val="space"/>
      <w:lvlText w:val="%1.%2.%3"/>
      <w:lvlJc w:val="left"/>
      <w:pPr>
        <w:ind w:left="851" w:hanging="567"/>
      </w:pPr>
    </w:lvl>
    <w:lvl w:ilvl="3" w:tentative="0">
      <w:start w:val="1"/>
      <w:numFmt w:val="decimal"/>
      <w:suff w:val="nothing"/>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3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51543"/>
    <w:rsid w:val="00FA36E8"/>
    <w:rsid w:val="022B3C48"/>
    <w:rsid w:val="02773F99"/>
    <w:rsid w:val="02AB3D4B"/>
    <w:rsid w:val="02B56978"/>
    <w:rsid w:val="03091250"/>
    <w:rsid w:val="03FF3D9A"/>
    <w:rsid w:val="04A44EF6"/>
    <w:rsid w:val="0546107D"/>
    <w:rsid w:val="08144141"/>
    <w:rsid w:val="08A6123D"/>
    <w:rsid w:val="09BD367A"/>
    <w:rsid w:val="0AB822A5"/>
    <w:rsid w:val="0AFB00A9"/>
    <w:rsid w:val="0B8E1642"/>
    <w:rsid w:val="0BF40511"/>
    <w:rsid w:val="0CDE566D"/>
    <w:rsid w:val="0D584ACF"/>
    <w:rsid w:val="0D983A1B"/>
    <w:rsid w:val="0E2A4E67"/>
    <w:rsid w:val="1166277B"/>
    <w:rsid w:val="11691059"/>
    <w:rsid w:val="123553DF"/>
    <w:rsid w:val="125A621B"/>
    <w:rsid w:val="13157F5C"/>
    <w:rsid w:val="154047C7"/>
    <w:rsid w:val="15671D54"/>
    <w:rsid w:val="16731EA6"/>
    <w:rsid w:val="169E79F7"/>
    <w:rsid w:val="185F4F64"/>
    <w:rsid w:val="193F7204"/>
    <w:rsid w:val="1A02204B"/>
    <w:rsid w:val="1D55083D"/>
    <w:rsid w:val="1E69422B"/>
    <w:rsid w:val="1F0602AC"/>
    <w:rsid w:val="20355EF4"/>
    <w:rsid w:val="203611D9"/>
    <w:rsid w:val="204038CD"/>
    <w:rsid w:val="228238D9"/>
    <w:rsid w:val="23EA427B"/>
    <w:rsid w:val="24A26904"/>
    <w:rsid w:val="24D665AE"/>
    <w:rsid w:val="250848CE"/>
    <w:rsid w:val="252E0198"/>
    <w:rsid w:val="254A0D4A"/>
    <w:rsid w:val="25A451F0"/>
    <w:rsid w:val="26D134D1"/>
    <w:rsid w:val="270F7B55"/>
    <w:rsid w:val="27377E1D"/>
    <w:rsid w:val="280C72E7"/>
    <w:rsid w:val="285A2A84"/>
    <w:rsid w:val="2867563B"/>
    <w:rsid w:val="2ABA0976"/>
    <w:rsid w:val="2B011CF0"/>
    <w:rsid w:val="2C077995"/>
    <w:rsid w:val="2DCF6290"/>
    <w:rsid w:val="2E8157DC"/>
    <w:rsid w:val="2EDB7B8A"/>
    <w:rsid w:val="2F4A02C4"/>
    <w:rsid w:val="2F884949"/>
    <w:rsid w:val="30197C97"/>
    <w:rsid w:val="30224D9D"/>
    <w:rsid w:val="30304AFC"/>
    <w:rsid w:val="306C677D"/>
    <w:rsid w:val="3075311F"/>
    <w:rsid w:val="3199108F"/>
    <w:rsid w:val="32452FC5"/>
    <w:rsid w:val="33482D6D"/>
    <w:rsid w:val="33A51F6D"/>
    <w:rsid w:val="34F767F8"/>
    <w:rsid w:val="35823F63"/>
    <w:rsid w:val="37031A7D"/>
    <w:rsid w:val="379C6251"/>
    <w:rsid w:val="388471EE"/>
    <w:rsid w:val="38A02F87"/>
    <w:rsid w:val="3AA1560E"/>
    <w:rsid w:val="3ADF089B"/>
    <w:rsid w:val="3B8E32E7"/>
    <w:rsid w:val="3DC92CFC"/>
    <w:rsid w:val="3DCF7FC2"/>
    <w:rsid w:val="3F37595B"/>
    <w:rsid w:val="3F943016"/>
    <w:rsid w:val="3FB53538"/>
    <w:rsid w:val="41911D83"/>
    <w:rsid w:val="423D7F3F"/>
    <w:rsid w:val="42E44134"/>
    <w:rsid w:val="44020D16"/>
    <w:rsid w:val="450A6C0C"/>
    <w:rsid w:val="455A5594"/>
    <w:rsid w:val="45C269AF"/>
    <w:rsid w:val="46101EFE"/>
    <w:rsid w:val="47E0136E"/>
    <w:rsid w:val="47F170D7"/>
    <w:rsid w:val="48A73ED6"/>
    <w:rsid w:val="48C65DA1"/>
    <w:rsid w:val="4A8F7C01"/>
    <w:rsid w:val="4B481704"/>
    <w:rsid w:val="4B726781"/>
    <w:rsid w:val="4D7367E0"/>
    <w:rsid w:val="4DB43081"/>
    <w:rsid w:val="4DEF40B9"/>
    <w:rsid w:val="4DFC67D6"/>
    <w:rsid w:val="4F0040A4"/>
    <w:rsid w:val="4F776199"/>
    <w:rsid w:val="4F7C5E20"/>
    <w:rsid w:val="52243ECA"/>
    <w:rsid w:val="522B65E5"/>
    <w:rsid w:val="544561BC"/>
    <w:rsid w:val="54DA5945"/>
    <w:rsid w:val="54E57124"/>
    <w:rsid w:val="552815B9"/>
    <w:rsid w:val="55A559A5"/>
    <w:rsid w:val="567C6706"/>
    <w:rsid w:val="569021B1"/>
    <w:rsid w:val="58093829"/>
    <w:rsid w:val="59455823"/>
    <w:rsid w:val="59A8341F"/>
    <w:rsid w:val="5DC56BE4"/>
    <w:rsid w:val="5F434264"/>
    <w:rsid w:val="5FCB425A"/>
    <w:rsid w:val="606D2837"/>
    <w:rsid w:val="608A3879"/>
    <w:rsid w:val="62402CDD"/>
    <w:rsid w:val="62726C0F"/>
    <w:rsid w:val="633F4CF0"/>
    <w:rsid w:val="63464323"/>
    <w:rsid w:val="64597225"/>
    <w:rsid w:val="64A82DBC"/>
    <w:rsid w:val="65F37F21"/>
    <w:rsid w:val="660F30F2"/>
    <w:rsid w:val="66F9345B"/>
    <w:rsid w:val="67444AD8"/>
    <w:rsid w:val="67486190"/>
    <w:rsid w:val="68091DC3"/>
    <w:rsid w:val="68880E09"/>
    <w:rsid w:val="68AC2E48"/>
    <w:rsid w:val="68B26DEE"/>
    <w:rsid w:val="69C27BE4"/>
    <w:rsid w:val="6AF705F9"/>
    <w:rsid w:val="6B3C7DBA"/>
    <w:rsid w:val="6BAC40E9"/>
    <w:rsid w:val="6C3D5FA2"/>
    <w:rsid w:val="6C8E6D3B"/>
    <w:rsid w:val="6E272365"/>
    <w:rsid w:val="6E5C0E9F"/>
    <w:rsid w:val="6F575A3C"/>
    <w:rsid w:val="701D28B0"/>
    <w:rsid w:val="7075449A"/>
    <w:rsid w:val="71901E55"/>
    <w:rsid w:val="71F92EA9"/>
    <w:rsid w:val="720F6228"/>
    <w:rsid w:val="73CD3228"/>
    <w:rsid w:val="769413F2"/>
    <w:rsid w:val="77640DC4"/>
    <w:rsid w:val="797A042B"/>
    <w:rsid w:val="7B5B2F1A"/>
    <w:rsid w:val="7B9B28DB"/>
    <w:rsid w:val="7BF74E3B"/>
    <w:rsid w:val="7E4E1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3"/>
    <w:basedOn w:val="1"/>
    <w:next w:val="1"/>
    <w:qFormat/>
    <w:uiPriority w:val="0"/>
    <w:pPr>
      <w:keepNext/>
      <w:keepLines/>
      <w:adjustRightInd w:val="0"/>
      <w:spacing w:before="260" w:after="260" w:line="416" w:lineRule="atLeast"/>
      <w:textAlignment w:val="baseline"/>
      <w:outlineLvl w:val="2"/>
    </w:pPr>
    <w:rPr>
      <w:b/>
      <w:bCs/>
      <w:kern w:val="0"/>
      <w:sz w:val="32"/>
      <w:szCs w:val="32"/>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table" w:styleId="6">
    <w:name w:val="Table Grid"/>
    <w:basedOn w:val="5"/>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Strong"/>
    <w:basedOn w:val="7"/>
    <w:qFormat/>
    <w:uiPriority w:val="0"/>
    <w:rPr>
      <w:b/>
    </w:rPr>
  </w:style>
  <w:style w:type="character" w:styleId="9">
    <w:name w:val="page number"/>
    <w:basedOn w:val="7"/>
    <w:qFormat/>
    <w:uiPriority w:val="0"/>
  </w:style>
  <w:style w:type="paragraph" w:styleId="10">
    <w:name w:val="List Paragraph"/>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2205</Words>
  <Characters>2356</Characters>
  <Lines>0</Lines>
  <Paragraphs>0</Paragraphs>
  <TotalTime>3</TotalTime>
  <ScaleCrop>false</ScaleCrop>
  <LinksUpToDate>false</LinksUpToDate>
  <CharactersWithSpaces>2558</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2025-11-04T07:53:00Z</dcterms:created>
  <dc:creator>Administrator</dc:creator>
  <cp:lastModifiedBy>sunyihui</cp:lastModifiedBy>
  <dcterms:modified xsi:type="dcterms:W3CDTF">2026-03-13T06:45:46Z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KSOTemplateDocerSaveRecord">
    <vt:lpwstr>eyJoZGlkIjoiNWIyZjBhZjYzNzRlMGYxMWMzYjFiMzNmNDA1NTA0MDYiLCJ1c2VySWQiOiIxNzE0MTY0NjM4In0=</vt:lpwstr>
  </property>
  <property fmtid="{D5CDD505-2E9C-101B-9397-08002B2CF9AE}" pid="4" name="ICV">
    <vt:lpwstr>E4D93760DCA04D89899598163F14902B_12</vt:lpwstr>
  </property>
</Properties>
</file>